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aa2467ca6a9192e623fb5a1bba7d16a3b3150f"/>
    <w:p>
      <w:pPr>
        <w:pStyle w:val="Heading3"/>
      </w:pPr>
      <w:r>
        <w:t xml:space="preserve">Районным судом города Казани удовлетворен иск прокуратуры Северного административного округа, поданный в интересах пенсионера</w:t>
      </w:r>
    </w:p>
    <w:p>
      <w:pPr>
        <w:pStyle w:val="FirstParagraph"/>
      </w:pPr>
      <w:r>
        <w:t xml:space="preserve">26.06.2025</w:t>
      </w:r>
    </w:p>
    <w:p>
      <w:pPr>
        <w:pStyle w:val="BodyText"/>
      </w:pPr>
      <w:r>
        <w:t xml:space="preserve">24.06.2025.</w:t>
      </w:r>
    </w:p>
    <w:p>
      <w:pPr>
        <w:pStyle w:val="BodyText"/>
      </w:pPr>
      <w:r>
        <w:t xml:space="preserve">В мае 2025 года удовлетворен иск прокуратуры округа, поданный в порядке ст. 45 ГПК РФ.</w:t>
      </w:r>
    </w:p>
    <w:p>
      <w:pPr>
        <w:pStyle w:val="BodyText"/>
      </w:pPr>
      <w:r>
        <w:t xml:space="preserve">Так, в прокуратуру округа обратилась Р.., 1964 г.р., жительница г. Москвы с заявлением об оказании содействия в подаче искового заявления в защиту ее прав, поскольку самостоятельно в судебном порядке защищать свои права она не в состоянии в связи с тем, что является пенсионером, то есть относящейся к социально незащищенным категориям населения.</w:t>
      </w:r>
    </w:p>
    <w:p>
      <w:pPr>
        <w:pStyle w:val="BodyText"/>
      </w:pPr>
      <w:r>
        <w:t xml:space="preserve">Установлено, что в производстве ГУ МВД России по г. Москве находилось уголовное дело в отношении К.</w:t>
      </w:r>
    </w:p>
    <w:p>
      <w:pPr>
        <w:pStyle w:val="BodyText"/>
      </w:pPr>
      <w:r>
        <w:t xml:space="preserve">По результатам судебного разбирательства приговором районного суда г. Москвы К. осужден за совершение 40 преступлений, предусмотренных ч. 4 ст. 159 УК РФ, т.е. мошеннических действий, хищений специализированного отделения по расследованию преступлений общеуголовной направленности – «дистанционные хищения» СУ УВД по САО</w:t>
      </w:r>
    </w:p>
    <w:p>
      <w:pPr>
        <w:pStyle w:val="BodyText"/>
      </w:pPr>
      <w:r>
        <w:t xml:space="preserve">чужого имущества путем обмана, совершенных в крупном размере, организованной группой, в том числе в отношении потерпевшей Р.</w:t>
      </w:r>
    </w:p>
    <w:p>
      <w:pPr>
        <w:pStyle w:val="BodyText"/>
      </w:pPr>
      <w:r>
        <w:t xml:space="preserve">Не позднее 17 часов 40 минут 08.03.2023 К., находившийся в г. Казани, с целью реализации единого для всех членов организованной преступной группы (далее – ОПГ) умысла на хищение денежных средств жителей различных субъектов Российской Федерации путем обмана, умышленно, из корыстных побуждений, в соответствии с возложенными на него обязанностями по приисканию банковских карт, приискал банковскую карту АО Альфа-Банк на имя Г., неосведомленного о преступных намерениях членов ОПГ, привязанную к банковскому счету.</w:t>
      </w:r>
    </w:p>
    <w:p>
      <w:pPr>
        <w:pStyle w:val="BodyText"/>
      </w:pPr>
      <w:r>
        <w:t xml:space="preserve">После чего передал реквизиты приисканного банковского счета неустановленным соучастникам, ответственными за звонки потенциальным жертвам, а также передал банковскую карту, привязанную к банковскому счету своему подчиненному неустановленному соучастнику, ответственному за обналичивание похищенных денежных средств.</w:t>
      </w:r>
    </w:p>
    <w:p>
      <w:pPr>
        <w:pStyle w:val="BodyText"/>
      </w:pPr>
      <w:r>
        <w:t xml:space="preserve">С 8 по 10 марта 2023 года, неустановленные лица, являющиеся членами ОПГ, реализуя единый для всех ее членов умысел на хищение денежных средств жителей различных субъектов Российской Федерации путем обмана, из корыстных побуждений, в соответствии с разработанным преступным планом и отведенным им ролям, при помощи заранее приисканных мобильных телефонов неоднократно связывались с потерпевшей Р., в ходе последующего общения сообщали заведомо ложные сведения, представились сотрудниками правоохранительных органов (МВД и ФСБ России), работниками Центрального банка РФ и сообщили, что третьи лица мошенническим путем пытаются похитить с ее банковских счетов денежные средства, а также оформить кредитные договоры, по которым в дальнейшем полученные денежные средства похитить, в связи с чем для предупреждения совершения в отношении нее мошеннических действий необходимо снять со своих банковских счетов все денежные средства, а также лично получить кредиты, после чего денежные средства перевести на «безопасные» банковские счета, находящиеся под контролем работников ЦБ РФ.</w:t>
      </w:r>
    </w:p>
    <w:p>
      <w:pPr>
        <w:pStyle w:val="BodyText"/>
      </w:pPr>
      <w:r>
        <w:t xml:space="preserve">Потерпевшая, введенная в заблуждение действиями звонивших членов ОПГ, уверенная, что предпринимает меры по пресечению в отношении нее преступных посягательств, получила в ПАО Сбербанк кредит на общую сумму 300 000 рублей, из которых 200 000 рублей, по указанию звонивших ей неустановленных лиц 09 марта 2023 года перевела через банкомат АО Альфа-Банк, расположенный магазине «Азбука вкуса» на банковский счет, открытый в АО Альфа-Банк на имя Г., которые неустановленный соучастник по указанию К. обналичил, то есть похитил их.</w:t>
      </w:r>
    </w:p>
    <w:p>
      <w:pPr>
        <w:pStyle w:val="BodyText"/>
      </w:pPr>
      <w:r>
        <w:t xml:space="preserve">Организатор преступной группы, его неустановленные соучастники и К., действуя в составе организованной группы, из корыстных побуждений, путем обмана, совершили хищение денежных средств потерпевшей Р. на общую сумму 200 000 рублей, что является значительным материальным ущербом, которыми распорядились по своему усмотрению, то есть совершил преступление, предусмотренное ч. 4 ст.159 УК РФ.</w:t>
      </w:r>
    </w:p>
    <w:p>
      <w:pPr>
        <w:pStyle w:val="BodyText"/>
      </w:pPr>
      <w:r>
        <w:t xml:space="preserve">При этом Р. и Г. сторонами по каким-либо сделкам, заключенным друг с другом не являются и каких-либо правоотношений, которые могли бы послужить основанием для денежных переводов, не имеют.</w:t>
      </w:r>
    </w:p>
    <w:p>
      <w:pPr>
        <w:pStyle w:val="BodyText"/>
      </w:pPr>
      <w:r>
        <w:t xml:space="preserve">По правилам выпуска и обслуживания банковских карт, карта является собственностью банка и дается владельцам во временное пользование. Передача карты в руки третьих лиц и предоставление сведений о ПИН-кодах категорически запрещены условиями договора, заключенного между банком</w:t>
      </w:r>
      <w:r>
        <w:br/>
      </w:r>
      <w:r>
        <w:t xml:space="preserve">и клиентом. Персональную ответственность по операциям с картой несет владелец карты. Таким образом, при передаче банковской карты третьему лицу все негативные последствия по совершенным банковским операциям возложены на лицо, на чье имя выдана банковская карта.</w:t>
      </w:r>
    </w:p>
    <w:p>
      <w:pPr>
        <w:pStyle w:val="BodyText"/>
      </w:pPr>
      <w:r>
        <w:t xml:space="preserve">Суд удовлетворил исковые требования прокуратуры округа и постановил взыскать с Г. неосновательное обогащение, а также проценты за пользование чужими денежными средствами.</w:t>
      </w:r>
    </w:p>
    <w:p>
      <w:pPr>
        <w:pStyle w:val="BodyText"/>
      </w:pPr>
      <w:r>
        <w:br/>
      </w:r>
    </w:p>
    <w:p>
      <w:pPr>
        <w:pStyle w:val="BodyText"/>
      </w:pPr>
      <w:r>
        <w:t xml:space="preserve">Адрес страницы:</w:t>
      </w:r>
      <w:r>
        <w:t xml:space="preserve"> </w:t>
      </w:r>
      <w:hyperlink r:id="rId20">
        <w:r>
          <w:rPr>
            <w:rStyle w:val="Hyperlink"/>
          </w:rPr>
          <w:t xml:space="preserve">http://dmitrovskiy.mos.ru/traffic-signals/the-prosecutor-s-office-of-the-cao-reports/detail/13062919.html</w:t>
        </w:r>
      </w:hyperlink>
    </w:p>
    <w:p>
      <w:pPr>
        <w:pStyle w:val="BodyText"/>
      </w:pPr>
      <w:hyperlink r:id="rId21">
        <w:r>
          <w:rPr>
            <w:rStyle w:val="Hyperlink"/>
          </w:rPr>
          <w:t xml:space="preserve">Управа Дмитровского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3062919.html" TargetMode="External" /></Relationships>
</file>

<file path=word/_rels/footnotes.xml.rels><?xml version="1.0" encoding="UTF-8"?><Relationships xmlns="http://schemas.openxmlformats.org/package/2006/relationships"><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306291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2025-06-26T08:09:57Z</dcterms:created>
  <dcterms:modified xsi:type="dcterms:W3CDTF">2025-06-26T08:09:57Z</dcterms:modified>
</cp:coreProperties>
</file>

<file path=docProps/custom.xml><?xml version="1.0" encoding="utf-8"?>
<Properties xmlns="http://schemas.openxmlformats.org/officeDocument/2006/custom-properties" xmlns:vt="http://schemas.openxmlformats.org/officeDocument/2006/docPropsVTypes"/>
</file>