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6e84317ba5308ee7611ee168dbc2350427338"/>
    <w:p>
      <w:pPr>
        <w:pStyle w:val="Heading3"/>
      </w:pPr>
      <w:r>
        <w:t xml:space="preserve">Вынесен приговор по п. «в» ч. 2 ст. 158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С.</w:t>
      </w:r>
    </w:p>
    <w:p>
      <w:pPr>
        <w:pStyle w:val="BodyText"/>
      </w:pPr>
      <w:r>
        <w:t xml:space="preserve">Он осужден по п. «в» ч. 2 ст. 158 УК РФ, а именно в совершении кражи, то есть тайного хищения чужого имущества с причинением значительного ущерба гражданину.</w:t>
      </w:r>
    </w:p>
    <w:p>
      <w:pPr>
        <w:pStyle w:val="BodyText"/>
      </w:pPr>
      <w:r>
        <w:t xml:space="preserve">С., реализуя свой преступный умысел, направленный на тайное хищение чужого имущества, убедившись, что за его действиями никто не наблюдает и они носят скрытый характер, похитил сумку с денежными средствами, принадлежащими потерпевшей, после чего с места преступления скрылся, распорядившись похищенным имуществом по своему усмотрению, чем причинил потерпевшей значительный ущерб в размере 11 400 рублей.</w:t>
      </w:r>
    </w:p>
    <w:p>
      <w:pPr>
        <w:pStyle w:val="BodyText"/>
      </w:pPr>
      <w:r>
        <w:t xml:space="preserve">С учетом позиции государственного обвинителя суд приговорил С. к наказанию в виде обязательных работ на срок 160 (сто шестьдесят) часов.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2025-06-25T08:57:05Z</dcterms:created>
  <dcterms:modified xsi:type="dcterms:W3CDTF">2025-06-25T08:57:05Z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