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12e6eb72ff74279887b8551c265047a40452a"/>
    <w:p>
      <w:pPr>
        <w:pStyle w:val="Heading3"/>
      </w:pPr>
      <w:r>
        <w:t xml:space="preserve">Вынесен обвинительный приговор по уголовному делу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23-летнего жителя Москвы Б.</w:t>
      </w:r>
    </w:p>
    <w:p>
      <w:pPr>
        <w:pStyle w:val="BodyText"/>
      </w:pPr>
      <w:r>
        <w:t xml:space="preserve">Он осужден по ч. 1 ст. 214 УК РФ, а именно в совершении вандализма, то есть порча имущества в иных общественных местах.</w:t>
      </w:r>
    </w:p>
    <w:p>
      <w:pPr>
        <w:pStyle w:val="BodyText"/>
      </w:pPr>
      <w:r>
        <w:t xml:space="preserve">Б., находясь в подъезде жилого дома будучи в состоянии алкогольного опьянения стал наносить удары по дверям пассажирского лифта, приведя его в непригодность.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 учетом позиции государственного обвинителя суд приговорил Б. к наказанию в виде штрафа в доход государства.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2025-06-25T17:36:16Z</dcterms:created>
  <dcterms:modified xsi:type="dcterms:W3CDTF">2025-06-25T17:36:16Z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