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d3beb21fe121cd8f7506349da575727947e43"/>
    <w:p>
      <w:pPr>
        <w:pStyle w:val="Heading3"/>
      </w:pPr>
      <w:r>
        <w:t xml:space="preserve">Прокуратура САО г. Москвы разъясняет о принятии закона об ограничении доли кредитов и (или) займов с переменной процентной ставкой</w:t>
      </w:r>
    </w:p>
    <w:p>
      <w:pPr>
        <w:pStyle w:val="FirstParagraph"/>
      </w:pPr>
      <w:r>
        <w:t xml:space="preserve">25.06.2024</w:t>
      </w:r>
    </w:p>
    <w:p>
      <w:pPr>
        <w:pStyle w:val="BodyText"/>
      </w:pPr>
      <w:r>
        <w:t xml:space="preserve">Принят закон об ограничении доли кредитов и (или) займов с переменной процентной ставкой.</w:t>
      </w:r>
    </w:p>
    <w:p>
      <w:pPr>
        <w:pStyle w:val="BodyText"/>
      </w:pPr>
      <w:r>
        <w:t xml:space="preserve">Закон закрепляет виды договоров, к которым допускается применение переменных процентных ставок. При этом максимальное допустимое значение переменной процентной ставки по кредитному договору, договору займа, которые заключены с физическим лицом в целях, не связанных </w:t>
      </w:r>
      <w:r>
        <w:br/>
      </w:r>
      <w:r>
        <w:t xml:space="preserve">с осуществлением им предпринимательской деятельности, и обязательства заемщика по которым обеспечены ипотекой, не может превышать установленную такими договорами на дату их заключения ставку в процентах годовых, увеличенную на одну треть, но не более чем на 4 процентных пункта. </w:t>
      </w:r>
    </w:p>
    <w:p>
      <w:pPr>
        <w:pStyle w:val="BodyText"/>
      </w:pPr>
      <w:r>
        <w:t xml:space="preserve">В федеральных законах "О сельскохозяйственной кооперации", </w:t>
      </w:r>
      <w:r>
        <w:br/>
      </w:r>
      <w:r>
        <w:t xml:space="preserve">"О кредитной кооперации", "О микрофинансовой деятельности </w:t>
      </w:r>
      <w:r>
        <w:br/>
      </w:r>
      <w:r>
        <w:t xml:space="preserve">и микрофинансовых организациях" предусматриваются особенности определения переменных процентных ставок по договорам займа, которые заключены с заемщиком, являющимся субъектом МСП. </w:t>
      </w:r>
    </w:p>
    <w:p>
      <w:pPr>
        <w:pStyle w:val="BodyText"/>
      </w:pPr>
      <w:r>
        <w:t xml:space="preserve">Закон вступает в силу с 1 сентября 2024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http://dmitrovskiy.mos.ru/traffic-signals/the-prosecutor-s-office-of-the-cao-reports/detail/12443156.html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431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431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2025-05-14T07:46:01Z</dcterms:created>
  <dcterms:modified xsi:type="dcterms:W3CDTF">2025-05-14T07:46:01Z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