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cc03f6a52f0df73c85dc5119ce71fd421c05b"/>
    <w:p>
      <w:pPr>
        <w:pStyle w:val="Heading3"/>
      </w:pPr>
      <w:r>
        <w:t xml:space="preserve">Прокуратурой САО г. Москвы проведена проверка по факту хищения имущества пенсионерки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bCs/>
          <w:b/>
        </w:rPr>
        <w:t xml:space="preserve">21.04.2024.</w:t>
      </w:r>
    </w:p>
    <w:p>
      <w:pPr>
        <w:pStyle w:val="BodyText"/>
      </w:pPr>
      <w:r>
        <w:t xml:space="preserve">Прокуратурой Северного административного округа г. Москвы в мае 2024 года в Саратовский районный суд Саратовской области направлено исковое заявление к ответчику о взыскании неосновательного обогащения, процентов за пользование чужими денежными средствами на общую сумму 248 058 руб. 88 коп.</w:t>
      </w:r>
    </w:p>
    <w:p>
      <w:pPr>
        <w:pStyle w:val="BodyText"/>
      </w:pPr>
      <w:r>
        <w:t xml:space="preserve">В ходе проверки установлено, что в производстве органов предварительного расследования находится уголовное дело, возбужденное в сентябре 2023 </w:t>
      </w:r>
      <w:r>
        <w:br/>
      </w:r>
      <w:r>
        <w:t xml:space="preserve">в отношении неустановленного лица по ч. 4 ст. 159 УК РФ., по факту хищения имущества пенсионерки. </w:t>
      </w:r>
    </w:p>
    <w:p>
      <w:pPr>
        <w:pStyle w:val="BodyText"/>
      </w:pPr>
      <w:r>
        <w:t xml:space="preserve">Следует, что потерпевшей в октябре 2023 года поступил телефонный звонок, в ходе которого неизвестный убедил пенсионерку взять кредит в одном из банков на сумму 278 000 руб., после чего, выполняя указания неизвестного перевела на расчетный счет мошенника общую сумму 220 500 руб.</w:t>
      </w:r>
    </w:p>
    <w:p>
      <w:pPr>
        <w:pStyle w:val="BodyText"/>
      </w:pPr>
      <w:r>
        <w:t xml:space="preserve">Иск находится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http://dmitrovskiy.mos.ru/traffic-signals/the-prosecutor-s-office-of-the-cao-reports/detail/12436558.html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36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36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2024-06-25T02:04:43Z</dcterms:created>
  <dcterms:modified xsi:type="dcterms:W3CDTF">2024-06-25T02:04:43Z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