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1e396c200c22e74f73e8f93fa625a317f47d2"/>
    <w:p>
      <w:pPr>
        <w:pStyle w:val="Heading3"/>
      </w:pPr>
      <w:r>
        <w:t xml:space="preserve">Прокуратура САО г. Москвы разъясняет: об административной отвественности за использование нацистской атрибутики или символики либо атрибутики или символики, сходных с нацистской атрибутикой или символикой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согласно ст. 6 Федерального закона от 19.05.1995 № 80-ФЗ «Об увековечении Победы советского народа в Великой Отечественной войне 1941 - 1945 годов» важнейшим направлением государственной политики Российской Федерации по увековечению Победы советского народа в Великой Отечественной войне является решительная борьба с проявлениями фашизма. В Российской Федерации запрещается использование нацистской атрибутики или символики либо атрибутики или символики, сходных с нацистской атрибутикой или символикой до степени смешения, как оскорбляющих многонациональный народ и память о понесенных в Великой Отечественной войне жертвах.</w:t>
      </w:r>
    </w:p>
    <w:p>
      <w:pPr>
        <w:pStyle w:val="BodyText"/>
      </w:pPr>
      <w:r>
        <w:t xml:space="preserve">Запрещается пропаганда либо публичное демонстрирование атрибутики или символики организаций, сотрудничавших с группами, организациями, движениями или лицами, признанными преступными либо виновными в совершении преступлений в соответствии с приговором Международного военного трибунала для суда и наказания главных военных преступников европейских стран оси (Нюрнбергского трибунала) либо приговорами национальных, военных или оккупационных трибуналов, основанными на приговоре Международного военного трибунала для суда и наказания главных военных преступников европейских стран оси (Нюрнбергского трибунала) либо вынесенными в период Великой Отечественной войны, Второй мировой войны.</w:t>
      </w:r>
    </w:p>
    <w:p>
      <w:pPr>
        <w:pStyle w:val="BodyText"/>
      </w:pPr>
      <w:r>
        <w:t xml:space="preserve">Статьей 20.3 КоАП РФ предусмотрена административная ответственность за пропаганду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законами, а также за изготовление или сбыт в целях пропаганды либо приобретение в целях сбыта или пропаганды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законами:</w:t>
      </w:r>
    </w:p>
    <w:p>
      <w:pPr>
        <w:numPr>
          <w:ilvl w:val="0"/>
          <w:numId w:val="1001"/>
        </w:numPr>
        <w:pStyle w:val="Compact"/>
      </w:pPr>
      <w:r>
        <w:t xml:space="preserve">на граждан до 2 тысяч пятисот рублей;</w:t>
      </w:r>
    </w:p>
    <w:p>
      <w:pPr>
        <w:numPr>
          <w:ilvl w:val="0"/>
          <w:numId w:val="1001"/>
        </w:numPr>
        <w:pStyle w:val="Compact"/>
      </w:pPr>
      <w:r>
        <w:t xml:space="preserve">на должностных лиц до 5 тысяч рублей;</w:t>
      </w:r>
    </w:p>
    <w:p>
      <w:pPr>
        <w:numPr>
          <w:ilvl w:val="0"/>
          <w:numId w:val="1001"/>
        </w:numPr>
        <w:pStyle w:val="Compact"/>
      </w:pPr>
      <w:r>
        <w:t xml:space="preserve">на юридических лиц до 100 тысяч рублей.</w:t>
      </w:r>
    </w:p>
    <w:p>
      <w:pPr>
        <w:pStyle w:val="FirstParagraph"/>
      </w:pPr>
      <w:r>
        <w:t xml:space="preserve">Положения указанной статьи не распространяются на случаи использования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идеологии.</w:t>
      </w:r>
    </w:p>
    <w:p>
      <w:pPr>
        <w:pStyle w:val="BodyText"/>
      </w:pPr>
      <w:r>
        <w:t xml:space="preserve">Наказание влечет конфискацию предмета административного правонарушения.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2024-06-16T07:33:42Z</dcterms:created>
  <dcterms:modified xsi:type="dcterms:W3CDTF">2024-06-16T07:33:42Z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