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3ec513a7bab2973650192bd74303a777fc49b"/>
    <w:p>
      <w:pPr>
        <w:pStyle w:val="Heading3"/>
      </w:pPr>
      <w:r>
        <w:t xml:space="preserve">Прокуратура САО г. Москвы разъясняет: о реестре лицензий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согласно внесённым Федеральным законом от 27.12.2019 № 478-ФЗ «О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деятельности» изменениям в Федеральный закон от 04.05.2011 № 99-ФЗ «О лицензировании отдельных видов деятельности» с 01 января 2021 года предусмотрено внедрение реестровой модели предоставления государственных услуг по лицензированию отдельных видов деятельности. Реформа охватила более 600 тысяч лицензий в таких сферах, как медицинская, фармацевтическая деятельность, образовательная деятельность и т.д.</w:t>
      </w:r>
    </w:p>
    <w:p>
      <w:pPr>
        <w:pStyle w:val="BodyText"/>
      </w:pPr>
      <w:r>
        <w:t xml:space="preserve">Реестровая модель подразумевает переход от предоставления результата государственной услуги в виде бумажного документа к записи в электронном реестре, который является источником достоверных сведений. Таким образом, по итогам предоставления государственной услуги вместо оформления лицензии на бумажном носителе будет формироваться юридически значимая запись в информационном ресурсе.</w:t>
      </w:r>
    </w:p>
    <w:p>
      <w:pPr>
        <w:pStyle w:val="BodyText"/>
      </w:pPr>
      <w:r>
        <w:t xml:space="preserve">Днём предоставления лицензии считается день внесения в реестр лицензий соответствующей записи. Регистрационный номер лицензии в рамках конкретного реестра лицензий является уникальным. Сведения о лицензиях получают статус открытых данных.</w:t>
      </w:r>
    </w:p>
    <w:p>
      <w:pPr>
        <w:pStyle w:val="BodyText"/>
      </w:pPr>
      <w:r>
        <w:t xml:space="preserve">При необходимости заинтересованные лица на основании соответствующего заявления вправе получить выписку из реестра лицензий либо в форме бумажного документа либо в форме электронного документа.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2024-06-27T07:32:38Z</dcterms:created>
  <dcterms:modified xsi:type="dcterms:W3CDTF">2024-06-27T07:32:38Z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