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085706b64e68cb84add53dcaa64679e4a70c7"/>
    <w:p>
      <w:pPr>
        <w:pStyle w:val="Heading3"/>
      </w:pPr>
      <w:r>
        <w:t xml:space="preserve">Прокуратура САО г. Москвы разъясняет: об ответственности за нарушение требований к антитеррористической защищенности объектов (территорий)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Уголовный закон дополнен статей 217.3, предусматривающей ответственность за нарушение требований к антитеррористической защищенности объектов (территорий).</w:t>
      </w:r>
    </w:p>
    <w:p>
      <w:pPr>
        <w:pStyle w:val="BodyText"/>
      </w:pPr>
      <w:r>
        <w:t xml:space="preserve">Так, нарушение требований к антитеррористической защищенности объектов (территорий), совершенных лицом после его неоднократного привлечения к административной ответственности за аналогичное деяние, если это нарушение повлекло по неосторожности причинение тяжкого вреда здоровью человека или причинение крупного ущерба, наказывается штрафом в размере до восьмидесяти тысяч рублей или в размере заработной платы или иного дохода осужденного за период до шести месяцев, либо ограничением свободы на срок до трех лет,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такового.</w:t>
      </w:r>
    </w:p>
    <w:p>
      <w:pPr>
        <w:pStyle w:val="BodyText"/>
      </w:pPr>
      <w:r>
        <w:t xml:space="preserve">При этом под неоднократным привлечением лица к административной ответственности за аналогичное деяние понимается привлечение лица к административной ответственности за совершение административных правонарушений, предусмотренных ч. 1 или ч. 2 ст. 20.35 КоАП РФ, два и более раза в течение ста восьмидесяти дней, а крупным признается ущерб, сумма которого превышает один миллион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2024-12-20T20:32:52Z</dcterms:created>
  <dcterms:modified xsi:type="dcterms:W3CDTF">2024-12-20T20:32:52Z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