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c4555368db9010df673a67ffbcd905e6ff05a"/>
    <w:p>
      <w:pPr>
        <w:pStyle w:val="Heading3"/>
      </w:pPr>
      <w:r>
        <w:t xml:space="preserve">Прокуратура САО г. Москвы разъясняет: о взимании кредитной организацией комиссионного вознаграждения за осуществление по поручению физического лица операций по переводу денежных средств в рублях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кредитная организация не вправе взимать комиссионное вознаграждение за осуществление по поручению физического лица операций по переводу денежных средств в рублях в размере в совокупности ежемесячно не более 30 млн. рублей с банковского счета (вклада) физического лица, открытого в этой кредитной организации, на банковский счет (вклад) указанного физического лица, открытый в другой кредитной организации, или специальный счет оператора финансовой платформы, бенефициаром по которому выступает указанное физическое лицо. При этом не допускается ограничение кредитной организацией размера или количества таких операций в пределах установленного совокупного ежемесячного размера операций.</w:t>
      </w:r>
    </w:p>
    <w:p>
      <w:pPr>
        <w:pStyle w:val="BodyText"/>
      </w:pPr>
      <w:r>
        <w:t xml:space="preserve">Эти положения не распространяются на операции по переводу денежных средств, осуществляемые при личном присутствии физического лица либо его представителя в кредитной организации, а также на операции по переводу денежных средств с использованием платежных карт.</w:t>
      </w:r>
    </w:p>
    <w:p>
      <w:pPr>
        <w:pStyle w:val="BodyText"/>
      </w:pPr>
      <w:r>
        <w:t xml:space="preserve">Кредитная организация до осуществления операции по переводу денежных средств, осуществляемой при личном присутствии физического лица либо его представителя в кредитной организации, обязана проинформировать физическое лицо либо его представителя об условиях операции по переводу денежных средств.</w:t>
      </w:r>
    </w:p>
    <w:p>
      <w:pPr>
        <w:pStyle w:val="BodyText"/>
      </w:pPr>
      <w:r>
        <w:t xml:space="preserve">О новшестве банки обязаны проинформировать на своем сайте, в мобильном приложении, в местах оказания услуг.</w:t>
      </w:r>
    </w:p>
    <w:p>
      <w:pPr>
        <w:pStyle w:val="BodyText"/>
      </w:pPr>
      <w:r>
        <w:t xml:space="preserve">Кроме того, банк должен предупредить клиентов, решивших сделать перевод в отделении банка, о возможности бесплатно перевести средства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2025-06-25T04:18:56Z</dcterms:created>
  <dcterms:modified xsi:type="dcterms:W3CDTF">2025-06-25T04:18:56Z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