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598079f91505c60cc2a458c8bb008d7391d45"/>
    <w:p>
      <w:pPr>
        <w:pStyle w:val="Heading3"/>
      </w:pPr>
      <w:r>
        <w:t xml:space="preserve">Прокуратура САО г. Москвы разъясняет: об изменениях в Федеральный закон «О противодействии экстремистской деятельности» от 25.07.2002 № 114-ФЗ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Федеральным законом от 14.02.2024 № 15-ФЗ внесены изменения в Федеральный закон «О противодействии экстремистской деятельности» от 25.07.2002 № 114-ФЗ.</w:t>
      </w:r>
    </w:p>
    <w:p>
      <w:pPr>
        <w:pStyle w:val="BodyText"/>
      </w:pPr>
      <w:r>
        <w:t xml:space="preserve">Административное исковое заявление о признании информационных материалов экстремистскими может быть подано в Верховный суд республики, краевой, областной суд, суд города федерального значения, суд автономной области, суд автономного округа по месту обнаружения, распространения данных материалов или по адресу организации, осуществляющей их производство.</w:t>
      </w:r>
    </w:p>
    <w:p>
      <w:pPr>
        <w:pStyle w:val="BodyText"/>
      </w:pPr>
      <w:r>
        <w:t xml:space="preserve">Ранее такие административные дела рассматривались районным судом по месту обнаружения, распространения данных материалов или по адресу организации, осуществляющей их производство.</w:t>
      </w:r>
    </w:p>
    <w:p>
      <w:pPr>
        <w:pStyle w:val="BodyText"/>
      </w:pPr>
      <w:r>
        <w:t xml:space="preserve">Уточняется, что при подготовке к судебному разбирательству административного дела о признании информационных материалов экстремистскими, судья определяет круг лиц, участвующих в деле, права и законные интересы которых может затронуть судебное решение, в частности, правообладателей, издателей, авторов произведений или перевода соответствующих материалов, если такие лица известны. Если подан административный иск о признании издания религиозного характера экстремистским, то суд вызывает в судебное заседание специалиста, обладающего специальными знаниями по соответствующей религии.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2025-05-20T02:01:25Z</dcterms:created>
  <dcterms:modified xsi:type="dcterms:W3CDTF">2025-05-20T02:01:25Z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