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7a5abf2680fddd551ef79ed7a861c60fd6ff1"/>
    <w:p>
      <w:pPr>
        <w:pStyle w:val="Heading3"/>
      </w:pPr>
      <w:r>
        <w:t xml:space="preserve">Прокуратура САО г. Москвы разъясняет: об изменениях касающихся уголовной ответственности за преступления против порядка управления, которые начали действовать с 30 декабря 2023 года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Федеральным законом от 19.12.2023 № 597-ФЗ в Уголовный кодекс Российской Федерации внесены изменения, касающиеся уголовной ответственности за преступления против порядка управления, которые начали действовать с 30 декабря 2023 года.</w:t>
      </w:r>
    </w:p>
    <w:p>
      <w:pPr>
        <w:pStyle w:val="BodyText"/>
      </w:pPr>
      <w:r>
        <w:t xml:space="preserve">Новой статьей 321.1 УК РФ установлена уголовная ответственность за передачу лицу, содержащемуся в учреждении уголовно-исполнительной системы или месте содержания под стражей, средств мобильной связи и иных средств коммуникации, а также комплектующих к ним, обеспечивающих их работу.</w:t>
      </w:r>
    </w:p>
    <w:p>
      <w:pPr>
        <w:pStyle w:val="BodyText"/>
      </w:pPr>
      <w:r>
        <w:t xml:space="preserve">Уголовная ответственность наступает в случае, когда лицо, совершившее передачу указанных предметов, ранее подвергалось административному наказанию или имеет судимость за совершение аналогичных деяний.</w:t>
      </w:r>
    </w:p>
    <w:p>
      <w:pPr>
        <w:pStyle w:val="BodyText"/>
      </w:pPr>
      <w:r>
        <w:t xml:space="preserve">За данное преступление, предусмотрено наказание в виде штрафа в размере от ста тысяч до трехсот тысяч рублей или в размере заработной платы или иного дохода за период от одного года до двух лет, принудительных работ на срок до 2 лет, лишения свободы на срок до 2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2025-07-14T14:01:40Z</dcterms:created>
  <dcterms:modified xsi:type="dcterms:W3CDTF">2025-07-14T14:01:40Z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