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263069bf1a9a4359354695b0e9f3148b07e9"/>
    <w:p>
      <w:pPr>
        <w:pStyle w:val="Heading3"/>
      </w:pPr>
      <w:r>
        <w:t xml:space="preserve">Прокуратура САО г. Москвы разъясняет: о внесении изменений в Кодекс Российской Федерации об административных нарушениях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06.04.2024 № 77-ФЗ внесены изменения в Кодекс Российской Федерации об административных правонарушениях.</w:t>
      </w:r>
    </w:p>
    <w:p>
      <w:pPr>
        <w:pStyle w:val="BodyText"/>
      </w:pPr>
      <w:r>
        <w:t xml:space="preserve">В частности, отказ в допуске в порядке и случаях, установленных законодательством, представителя специализированной организации для выполнения работ (оказания услуг) по техническому обслуживанию и ремонту внутридомового газового оборудования в многоквартирном доме, по техническому обслуживанию внутриквартирного газового оборудования в многоквартирном доме или внутридомового газового оборудования в жилом доме (домовладении) либо для приостановления подачи газа повлечет наложение штрафа на граждан в размере от пяти тысяч до десяти тысяч рублей; на должностных лиц - от двадцати пяти тысяч до ста тысяч рублей; на юридических лиц - от двухсот тысяч до пятисот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2024-10-06T06:10:27Z</dcterms:created>
  <dcterms:modified xsi:type="dcterms:W3CDTF">2024-10-06T06:10:27Z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