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36a14336c4943f11e21785d73b3d6f2266b06"/>
    <w:p>
      <w:pPr>
        <w:pStyle w:val="Heading3"/>
      </w:pPr>
      <w:r>
        <w:t xml:space="preserve">Прокуратура САО г. Москвы разъясняет: о рассмотрении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в соответствии с ч. 1 ст. 19.9 КоАП РФ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влечет наложение административного штрафа в размере от одной тысячи до пяти тысяч рублей.</w:t>
      </w:r>
    </w:p>
    <w:p>
      <w:pPr>
        <w:pStyle w:val="BodyText"/>
      </w:pPr>
      <w:r>
        <w:t xml:space="preserve">Согласно ч. 2 ст. 19.9 КоАП РФ,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объекта, которое в соответствии с законом не может быть удовлетворено, влечет наложение административного штрафа в размере от десяти тысяч до двадцати тысяч рублей.</w:t>
      </w:r>
    </w:p>
    <w:p>
      <w:pPr>
        <w:pStyle w:val="BodyText"/>
      </w:pPr>
      <w:r>
        <w:t xml:space="preserve">Частью 3 вышеуказанной нормы предусмотрена ответственность за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основаниям, что влечет наложение административного штрафа в размере от пяти тысяч до двенадцати тысяч рублей.</w:t>
      </w:r>
    </w:p>
    <w:p>
      <w:pPr>
        <w:pStyle w:val="BodyText"/>
      </w:pPr>
      <w:r>
        <w:t xml:space="preserve">Дела об административных правонарушениях, предусмотренных ст. 19.9 КоАП РФ возбуждаются прокурором.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2025-07-02T18:36:31Z</dcterms:created>
  <dcterms:modified xsi:type="dcterms:W3CDTF">2025-07-02T18:36:31Z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