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eee4710888e144d25b2a96a2cfeb645222ca88"/>
    <w:p>
      <w:pPr>
        <w:pStyle w:val="Heading3"/>
      </w:pPr>
      <w:r>
        <w:t xml:space="preserve">Прокуратура САО г. Москвы разъясняет: нарушение требований к антитеррористической защищенности объектов (территорий)</w:t>
      </w:r>
    </w:p>
    <w:p>
      <w:pPr>
        <w:pStyle w:val="FirstParagraph"/>
      </w:pPr>
      <w:r>
        <w:t xml:space="preserve">13.06.2024</w:t>
      </w:r>
    </w:p>
    <w:p>
      <w:pPr>
        <w:pStyle w:val="BodyText"/>
      </w:pPr>
      <w:r>
        <w:t xml:space="preserve">Тимирязевская межрайонная прокуратура г. Москвы разъясняет, что Федеральным законом от 31.07.2023 № 398-ФЗ Уголовный кодекс Российской Федерации дополнен статьей 217.3 «Нарушение требований к антитеррористической защищенности объектов (территорий)».</w:t>
      </w:r>
    </w:p>
    <w:p>
      <w:pPr>
        <w:pStyle w:val="BodyText"/>
      </w:pPr>
      <w:r>
        <w:t xml:space="preserve">Уголовная ответственность по указанной статье наступает за нарушение требований к антитеррористической защищенности объектов (территорий), совершенное лицом после его неоднократного привлечения к административной ответственности за аналогичное деяние (по статье 20.35 Кодекса Российской Федерации об административных правонарушениях), если это нарушение повлекло по неосторожности причинение тяжкого вреда здоровью человека или причинение крупного ущерба, за исключением случаев, предусмотренных статьями 217.1 и 263.1 УК РФ.</w:t>
      </w:r>
    </w:p>
    <w:p>
      <w:pPr>
        <w:pStyle w:val="BodyText"/>
      </w:pPr>
      <w:r>
        <w:t xml:space="preserve">Крупным ущербом в указанной статье признается ущерб, сумма которого превышает один миллион рублей.</w:t>
      </w:r>
    </w:p>
    <w:p>
      <w:pPr>
        <w:pStyle w:val="BodyText"/>
      </w:pPr>
      <w:r>
        <w:t xml:space="preserve">За совершение указанного преступления предусмотрено наказание в виде штрафа в размере до 80 000 рублей или в размере заработной платы или иного дохода осужденного за период до 6 месяцев, либо ограничения свободы на срок до 3 лет, либо лишение свободы на тот же срок с лишением права занимать определенные должности или заниматься определенной деятельностью на срок до 3 лет или без такового.</w:t>
      </w:r>
    </w:p>
    <w:p>
      <w:pPr>
        <w:pStyle w:val="BodyText"/>
      </w:pPr>
      <w:r>
        <w:t xml:space="preserve">Если вышеуказанное нарушение повлекло по неосторожности смерть человека, предусмотрено наказание в виде лишения свободы на срок до 5 лет. В случае наступления смерти 2 или более лиц, срок лишения свободы может быть назначен до 7 лет.</w:t>
      </w:r>
    </w:p>
    <w:p>
      <w:pPr>
        <w:pStyle w:val="BodyText"/>
      </w:pPr>
      <w:r>
        <w:t xml:space="preserve">Указанная статья Уголовного кодекса Российской Федерации начинает действовать с 01.07.2024.</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http://dmitrovskiy.mos.ru/traffic-signals/the-prosecutor-s-office-of-the-cao-reports/detail/12418182.html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1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1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2024-12-22T02:19:02Z</dcterms:created>
  <dcterms:modified xsi:type="dcterms:W3CDTF">2024-12-22T02:19:02Z</dcterms:modified>
</cp:coreProperties>
</file>

<file path=docProps/custom.xml><?xml version="1.0" encoding="utf-8"?>
<Properties xmlns="http://schemas.openxmlformats.org/officeDocument/2006/custom-properties" xmlns:vt="http://schemas.openxmlformats.org/officeDocument/2006/docPropsVTypes"/>
</file>