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1093e6fa3771c75ec67078632e36f7dd383c"/>
    <w:p>
      <w:pPr>
        <w:pStyle w:val="Heading3"/>
      </w:pPr>
      <w:r>
        <w:t xml:space="preserve">Прокуратура САО г. Москвы разъясняет: о контейнерных площадках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Верховный суд Российской Федерации постановил, что нельзя без учета отраслевых норм обязать управляющую компанию сделать контейнерную площадку (14.11.2023)- Определение ВС РФ от 31.10.2023 N 304-ЭС23-10375</w:t>
      </w:r>
    </w:p>
    <w:p>
      <w:pPr>
        <w:pStyle w:val="BodyText"/>
      </w:pPr>
      <w:r>
        <w:t xml:space="preserve">Суды по иску районной администрации обязали группу управляющих организаций среди прочего установить на придомовых территориях многоквартирных домов контейнерные площадки.</w:t>
      </w:r>
    </w:p>
    <w:p>
      <w:pPr>
        <w:pStyle w:val="BodyText"/>
      </w:pPr>
      <w:r>
        <w:t xml:space="preserve">В жалобе один из ответчиков отметил: разместить место накопления твердых коммунальных отходов на обозначенном участке нельзя без нарушения градостроительных, санитарно-эпидемиологических и противопожарных норм. Были и другие возражения.</w:t>
      </w:r>
    </w:p>
    <w:p>
      <w:pPr>
        <w:pStyle w:val="BodyText"/>
      </w:pPr>
      <w:r>
        <w:t xml:space="preserve">ВС РФ указал: перед тем как обязать управляющую организацию установить площадку, надо проверить, отвечает ли ее размещение отраслевым и прочим требованиям. Три инстанции этого не сделали и тем самым нарушили принцип исполнимости судебного акта. ВС РФ направил дело на новое рассмотрение.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http://dmitrovskiy.mos.ru/traffic-signals/the-prosecutor-s-office-of-the-cao-reports/detail/12019296.html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019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019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2025-07-28T15:16:06Z</dcterms:created>
  <dcterms:modified xsi:type="dcterms:W3CDTF">2025-07-28T15:16:06Z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