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ece509a8c7ddadd0e83e16c0c1070a3abc7b8"/>
    <w:p>
      <w:pPr>
        <w:pStyle w:val="Heading3"/>
      </w:pPr>
      <w:r>
        <w:t xml:space="preserve">Прокуратура САО г. Москвы разъясняет: нельзя оставить кредиторов без денег из-за завышенного вознаграждения управляющему должника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t xml:space="preserve">Согласно Определению ВС РФ от 05.05.2023 N 306-ЭС20-14681(13) в деле о банкротстве имущество должника продали на торгах единым лотом. Из вырученной суммы более 90% (более 10 млрд руб.) получил залоговый кредитор. Остальные деньги причитались другим кредиторам.</w:t>
      </w:r>
    </w:p>
    <w:p>
      <w:pPr>
        <w:pStyle w:val="BodyText"/>
      </w:pPr>
      <w:r>
        <w:t xml:space="preserve">Суды установили конкурсному управляющему проценты по вознаграждению в связи с полным погашением требований залогового кредитора. Их размер - 5% от суммы удовлетворенных залоговых требований.</w:t>
      </w:r>
    </w:p>
    <w:p>
      <w:pPr>
        <w:pStyle w:val="BodyText"/>
      </w:pPr>
      <w:r>
        <w:t xml:space="preserve">ВС РФ указал: суды назначили управляющему максимально возможную плату, но ошибочно не определили его личный вклад в погашение требований залогового кредитора. Если установить процентное вознаграждение управляющему без учета исполненных услуг, то кредиторы, которых включили в реестр должника, не получат причитающиеся им деньги.</w:t>
      </w:r>
    </w:p>
    <w:p>
      <w:pPr>
        <w:pStyle w:val="BodyText"/>
      </w:pPr>
      <w:r>
        <w:t xml:space="preserve">Суды не приняли во внимание и доводы кредиторов о том, что управляющий оказал услуги в незначительном объеме, их оплата завышена и т.д.</w:t>
      </w:r>
    </w:p>
    <w:p>
      <w:pPr>
        <w:pStyle w:val="BodyText"/>
      </w:pPr>
      <w:r>
        <w:t xml:space="preserve">ВС РФ направил дело на новое рассмотрение.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http://dmitrovskiy.mos.ru/traffic-signals/the-prosecutor-s-office-of-the-cao-reports/detail/11675429.html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75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75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2024-10-10T04:57:17Z</dcterms:created>
  <dcterms:modified xsi:type="dcterms:W3CDTF">2024-10-10T04:57:17Z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